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 xml:space="preserve">Činnost Dětského spolku Regáči z.s. – </w:t>
      </w: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>Spolku Stínadla z.s.</w:t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cstheme="minorHAnsi" w:ascii="Calibri" w:hAnsi="Calibri"/>
          <w:b/>
          <w:bCs/>
          <w:sz w:val="32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cstheme="minorHAnsi" w:ascii="Calibri" w:hAnsi="Calibri"/>
          <w:b/>
          <w:bCs/>
          <w:sz w:val="32"/>
          <w:szCs w:val="32"/>
        </w:rPr>
        <w:t xml:space="preserve"> </w:t>
      </w:r>
      <w:r>
        <w:rPr>
          <w:rFonts w:cs="Calibri" w:cstheme="minorHAnsi" w:ascii="Calibri" w:hAnsi="Calibri"/>
          <w:b/>
          <w:bCs/>
          <w:sz w:val="32"/>
          <w:szCs w:val="32"/>
        </w:rPr>
        <w:t>2024</w:t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Spacing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Spolek byl rozhodnutím Valné hromady z 23.1. 2024 přejmenován na Spolek Stínadla z.s. a tato změna byla zapsána do Spolkového rejstříku Městského soudu V Praze k 27.2.2024.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Cs w:val="24"/>
        </w:rPr>
        <w:t>Po celý rok spolek prodával knihy</w:t>
      </w:r>
      <w:r>
        <w:rPr>
          <w:rFonts w:cs="Calibri" w:ascii="Calibri" w:hAnsi="Calibri" w:asciiTheme="minorHAnsi" w:cstheme="minorHAnsi" w:hAnsiTheme="minorHAnsi"/>
        </w:rPr>
        <w:t xml:space="preserve"> Regáči a  Regáči a neznámí hrdinové odboje</w:t>
      </w:r>
      <w:r>
        <w:rPr>
          <w:rFonts w:cs="Calibri" w:ascii="Calibri" w:hAnsi="Calibri" w:asciiTheme="minorHAnsi" w:cstheme="minorHAnsi" w:hAnsiTheme="minorHAnsi"/>
          <w:szCs w:val="24"/>
        </w:rPr>
        <w:t xml:space="preserve"> a audioknihu </w:t>
      </w:r>
      <w:r>
        <w:rPr>
          <w:rFonts w:cs="Calibri" w:ascii="Calibri" w:hAnsi="Calibri" w:asciiTheme="minorHAnsi" w:cstheme="minorHAnsi" w:hAnsiTheme="minorHAnsi"/>
        </w:rPr>
        <w:t>Regáči prostřednictvím velkoobchodu Pemic Books a.s.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Tato spolupráce byla uzavřena ke konci roku z důvodu nulových prodejů. 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Audiokniha zůstala v prodeji.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 březnu a dubnu spolek provedl produkční práce na vydání knihy </w:t>
      </w:r>
      <w:r>
        <w:rPr>
          <w:rFonts w:cs="Calibri" w:ascii="Calibri" w:hAnsi="Calibri" w:asciiTheme="minorHAnsi" w:cstheme="minorHAnsi" w:hAnsiTheme="minorHAnsi"/>
          <w:b/>
          <w:bCs/>
        </w:rPr>
        <w:t>Bezpečná Evropa? Pravdy a lži</w:t>
      </w:r>
      <w:r>
        <w:rPr>
          <w:rFonts w:cs="Calibri" w:ascii="Calibri" w:hAnsi="Calibri" w:asciiTheme="minorHAnsi" w:cstheme="minorHAnsi" w:hAnsiTheme="minorHAnsi"/>
        </w:rPr>
        <w:t xml:space="preserve"> od autora Davida Bohbota. 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Tento bezpečnostní expert v knize uvádí své vzpomínky a zkušenosti z působení v Izraeli a jejich implementaci do každodenního života v ČR s důrazem na bezpečí rodiny.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Křest knihy byl v květnu V Top Hotelu Praha.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Po celý zbytek roku spolek prodával knihu </w:t>
      </w:r>
      <w:r>
        <w:rPr>
          <w:rFonts w:cs="Calibri" w:ascii="Calibri" w:hAnsi="Calibri" w:asciiTheme="minorHAnsi" w:cstheme="minorHAnsi" w:hAnsiTheme="minorHAnsi"/>
          <w:b/>
          <w:bCs/>
        </w:rPr>
        <w:t>Bezpečná Evropa? Pravdy a lži</w:t>
      </w:r>
      <w:r>
        <w:rPr>
          <w:rFonts w:cs="Calibri" w:ascii="Calibri" w:hAnsi="Calibri" w:asciiTheme="minorHAnsi" w:cstheme="minorHAnsi" w:hAnsiTheme="minorHAnsi"/>
        </w:rPr>
        <w:t xml:space="preserve"> prostřednictvím velkoobchodu Pemic Books a.s.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 létě začal spolek připravovat filmový projekt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Píseň pro Rudolfa I. aneb..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Jde o hudební filmovou romanci o stopáži cca 35 minut s příběhem mladého páru řešícím svatbu, založení rodiny a bydlení.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Film se bude natáčet v interiérech a exteriérech města Brandýs nad Labem-Staré Boleslavi.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Projekt podpořilo grantem Město Brandýs nad Labem-Stará Boleslav.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Spolku se podařilo zajistit první tři partnery projektu v tomto roce s tím, že film bude natočen v roce 2025 a k tomu bude nutné zajistit další partnery a celou produkci.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Finanční prostředky byly deponovány na zvláštní podúčet a převedeny do roku 2025.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Partneři filmu 2024:  AVE CZ s.r.o., Tapas Borek s.r.o.,  Stavokomplet spol. s r.o.</w:t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start="1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Libor Adam</w:t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předseda spolku</w:t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739 612 405</w:t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libor@regaci.cz</w:t>
      </w:r>
    </w:p>
    <w:p>
      <w:pPr>
        <w:pStyle w:val="Normal"/>
        <w:tabs>
          <w:tab w:val="clear" w:pos="708"/>
          <w:tab w:val="left" w:pos="0" w:leader="none"/>
        </w:tabs>
        <w:ind w:start="7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ind w:firstLine="708" w:start="12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49ac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0"/>
      <w:lang w:eastAsia="ar-SA" w:val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849a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71b4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6c007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0"/>
      <w:lang w:eastAsia="ar-SA" w:val="cs-CZ" w:bidi="ar-SA"/>
      <w14:ligatures w14:val="none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LibreOffice/25.8.0.4$Linux_X86_64 LibreOffice_project/48f00303701489684e67c38c28aff00cd5929e67</Application>
  <AppVersion>15.0000</AppVersion>
  <Pages>1</Pages>
  <Words>262</Words>
  <Characters>1410</Characters>
  <CharactersWithSpaces>1658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2025-07-31T08:45:00Z</dcterms:created>
  <dc:creator>Libor Adam</dc:creator>
  <dc:description/>
  <dc:language>cs-CZ</dc:language>
  <cp:lastModifiedBy/>
  <dcterms:modified xsi:type="dcterms:W3CDTF">2025-08-28T10:09:45Z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